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544</w:t>
      </w:r>
    </w:p>
    <w:p>
      <w:r>
        <w:t>Bundesgericht (BGE), 1970-12-16, FR</w:t>
      </w:r>
    </w:p>
    <w:p>
      <w:r>
        <w:rPr>
          <w:b/>
        </w:rPr>
        <w:t xml:space="preserve">Quelle: </w:t>
      </w:r>
      <w:r>
        <w:t>https://mcp.opencaselaw.ch/entscheid/bge_96 I 544</w:t>
      </w:r>
    </w:p>
    <w:p>
      <w:r>
        <w:t>FR: ATF 96 I 544</w:t>
      </w:r>
    </w:p>
    <w:p>
      <w:r>
        <w:t>IT: DTF 96 I 544</w:t>
      </w:r>
    </w:p>
    <w:p>
      <w:pPr>
        <w:pStyle w:val="Heading2"/>
      </w:pPr>
      <w:r>
        <w:t>Regeste</w:t>
      </w:r>
    </w:p>
    <w:p>
      <w:r>
        <w:t>Regeste Gesetzlicher Abstand zwischen Bauten und Wald. Bewilligung zur Herabsetzung dieses Abstands. Willkür. Legitimation des Waldeigentümers zur staatsrechtlichen Beschwerde gegen die Erteilung einer Bewilligung zur Herabsetzung des gesetzlichen Waldabstandes (Erw. 1). Unhaltbarkeit der Gründe, auf die sich die im vorliegenden Fall erteilte Ausnahmebewilligung stützt (Erw. 2).</w:t>
      </w:r>
    </w:p>
    <w:p>
      <w:pPr>
        <w:pStyle w:val="Heading2"/>
      </w:pPr>
      <w:r>
        <w:t>Erwägungen</w:t>
      </w:r>
    </w:p>
    <w:p>
      <w:r>
        <w:rPr>
          <w:b/>
        </w:rPr>
        <w:t>E. 1</w:t>
      </w:r>
    </w:p>
    <w:p>
      <w:r>
        <w:t>L'intimé Stengel ne conteste pas que les recourants aient qualité pour saisir la juridiction constitutionnelle. En revanche, le Conseil-exécutif expose dans sa réponse que le voisin n'a pas la faculté de s'opposer à la réduction de l'espace entre bâtiment et forêt, sans toutefois dire clairement s'il met en doute la qualité pour agir des recourants. Quoi qu'il en soit, le Tribunal fédéral doit examiner cette dernière question d'office, et avec plein pouvoir (RO 91 I 414, 93 I 174). Il est indifférent à cet égard que le recourant ait ou n'ait pas eu la qualité de partie à la procédure cantonale. Il suffit que les conditions de l'art. 88 OJ soient remplies (RO 89 I 238 consid. 2, 91 I 416). En vertu de cette dernière disposition, ont qualité pour recourir les particuliers ou les collectivités lésés dans leurs droits par des arrêtés ou des décisions qui les concernent personnellement ou qui sont de portée générale. L'autorité cantonale fait valoir que l'art. 10 al. 2 de la loi cantonale sur les forêts ne crée aucun droit subjectif, public ou privé, en faveur du propriétaire de forêt dont le voisin veut construire. Selon la jurisprudence actuelle du Tribunal fédéral, ce point n'est pas décisif. Le voisin a en effet qualité pour agir dès qu'est en cause l'application de règles de la police des constructions qui sont destinées à protéger, outre l'intérêt public, les intérêts particuliers des voisins (RO 91 I 413 ss., 92 I 208). L'art. 10 al. 2 de la loi bernoise sur les forêts appartient à la police des constructions dans la mesure où il règle la construction sur les BGE 96 I 544 S. 548 terrains proches des forêts. Il a pour but essentiel, ainsi que cela résulte clairement de la place qu'il occupe dans la loi et comme le Conseil-exécutif le relève lui-même, de réduire le danger d'incendie de forêt. Par là même il protège, outre l'intérêt public, l'intérêt particulier du voisin. Les recourants ont dès lors qualité pour agir, en tant qu'ils se plaignent de la réduction à 20 m. de l'espace entre les constructions projetées et leur propre forêt. Le recours est recevable dans cette mesure. En revanche, la réduction à 5 m. de la distance entre les bâtiments et les forêts situées à l'intérieur du fonds des intimés ne lèse pas les recourants. Ceux-ci ne le soutiennent pas du reste.</w:t>
      </w:r>
    </w:p>
    <w:p>
      <w:r>
        <w:rPr>
          <w:b/>
        </w:rPr>
        <w:t>E. 2</w:t>
      </w:r>
    </w:p>
    <w:p>
      <w:r>
        <w:t>En vertu de l'art. 10 al. 2, 2e phrase, de la loi cantonale sur les forêts, le Conseil-exécutif peut dans certains cas spéciaux autoriser des exceptions à la règle qui interdit de construire des maisons d'habitation ou d'autres bâtiments à foyer à moins de 30 m. de la lisière d'une forêt. Il en déduit qu'il peut statuer selon sa libre appréciation. Tel n'est évidemment pas le cas. Le législateur s'en est certes remis à l'appréciation de l'autorité exécutive, mais non sans lui fixer des limites. D'une part la réduction de la distance prescrite n'est possible que dans certains cas spéciaux et d'autre part elle a le caractère d'une exception. Elle doit donc se justifier par des arguments suffisamment importants. Il incombe en outre au Conseil-exécutif de donner avec précision dans les motifs de son arrêté les raisons pour lesquelles une exception à la règle se justifie. Il lui faut pour le moins démontrer que la ratio legis ne s'oppose pas, dans le cas particulier, à ce que la distance entre bätiment et forêt soit inférieure à 30 m. En l'espèce, le Conseil-exécutif invoque trois motifs, dont deux seulement doivent justifier la réduction de la distance entre les bâtiments et la forêt des recourants; le troisième ne concerne que les forêts croissant sur le fonds même des intimés et n'entre pas en considération. a) Le Conseil-exécutif fait tout d'abord état de la nature marécageuse du terrain. Ce motif est manifestement insoutenable. Non seulement il n'est pas exclu que la végétation palustre se dessèche et s'enflamme, mais il est évident que la construction implique l'assèchement du marais, qui ne pourra plus offrir aucune protection contre la propagation du feu. b) Le second motif est une simple référence à la "convention" signée par les intimés. Il n'est évidemment pas décisif. BGE 96 I 544 S. 549 Le Conseil-exécutif déclare lui-même dans sa réponse que cette convention, prescrite par de simples instructions de la Direction des forêts, est sans influence sur l'octroi ou le refus de l'autorisation et qu'elle sert purement et simplement à garantir l'Etat contre des demandes de dommages-intérêts que le maître de l'ouvrage pourrait présenter en cas de dégâts causés aux bâtiments par la proximité de la forêt. Mais s'il en est ainsi, l'engagement du seul maître de l'ouvrage ne peut être un motif de déroger à la loi. Il se peut certes que la convention exigée par les instructions de la Direction des forêts n'ait pas de base légale. Néanmoins, il n'est pas indifférent que le propriétaire de la forêt consente à la réduction de la distance légale ou s'y oppose. En l'espèce, les recourants n'ont pas donné leur accord et la "convention" signée des seuls intimés ne peut nullement servir à justifier la dérogation. L'arrêté attaqué contient au surplus une contradiction interne, en ce qu'il impose aux intimés de veiller à ce que tout acquéreur des maisons situées à moins de 30 m. d'une forêt conclue une convention, selon la formule officielle, avec le propriétaire de ladite forêt. On ne voit pas quel est le sens de cette charge, si elle n'est pas imposée aux intimés eux-mêmes et qu'elle soit sans portée juridique. L'arrêté ne précise pas, au reste, quelle sanction serait prise au cas où ces conventions ne viendraient pas à chef.</w:t>
      </w:r>
    </w:p>
    <w:p>
      <w:r>
        <w:rPr>
          <w:b/>
        </w:rPr>
        <w:t>E. 3</w:t>
      </w:r>
    </w:p>
    <w:p>
      <w:r>
        <w:t>Une décision non motivée, ou dont les motifs sont manifestement insoutenables, n'est pas nécessairement arbitraire. Elle peut être au contraire objectivement fondée. En pareil cas, le Tribunal fédéral peut substituer de nouveaux motifs à la motivation arbitraire de l'autorité cantonale (RO 86 I 269 ; 91 I 37 /38). En l'espèce toutefois, l'arrêté attaqué doit être annulé car, faute de connaître dans le détail la situation locale, le Tribunal fédéral n'est pas en mesure de déterminer s'il existe des motifs valables et conformes à la loi de réduire la distance légale. Il ne s'agit pas en effet de rechercher si une distance de 20 m. serait toujours suffisante - le législateur a tranché cette question - mais bien de décider si des motifs précis permettent de déroger à la règle dans le cas particulier. Or, le projet prévoit des maisons de bois, relativement proches les unes des autres, non visibles du fond de la vallée et en grande partie, sinon totalement, inhabitées pendant une partie de l'année. Un incendie pourrait éclater sans être aperçu à temps. BGE 96 I 544 S. 550 La configuration du terrain favoriserait la propagation du feu, comme le Conseil-exécutif le relève lui-même. Il faudrait donc des motifs particulièrement importants pour réduire la distance légale en dépit de ces conditions nettement défavorables. Le Conseil-exécutif reprendra l'examen de la requête des intimés en se plaçant à ce point de vue.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